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u w:val="single"/>
          <w:rtl w:val="0"/>
        </w:rPr>
        <w:t xml:space="preserve">Présentation Line</w:t>
      </w:r>
      <w:r w:rsidDel="00000000" w:rsidR="00000000" w:rsidRPr="00000000">
        <w:rPr>
          <w:rtl w:val="0"/>
        </w:rPr>
        <w:t xml:space="preserve"> :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Fiscaliste qui se prépare pour être avocate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Découverte de la CAT en voyant le spectacle d’un ami de mon frère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Inscription à l'atelier interprétation l’année deniere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Stage Bande de jeune : rencontre qui m’ont amené au cinéma et à RBP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Chronique lors de l’émission pour la grande parade des JO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0" w:firstLine="0"/>
        <w:rPr>
          <w:u w:val="single"/>
        </w:rPr>
      </w:pPr>
      <w:r w:rsidDel="00000000" w:rsidR="00000000" w:rsidRPr="00000000">
        <w:rPr>
          <w:u w:val="single"/>
          <w:rtl w:val="0"/>
        </w:rPr>
        <w:t xml:space="preserve">Idée de chronique :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Je pourrais, comme lors de la dernière émission, vous parler de l’une de mes passions, de parler de droit. Mais permettons nous  un peu plus de légèreté. J’ai envie de parler  de sujet, autant fâchant, qu'intéressant. Parlons de sujets qu’on peut avoir envie d’aborder, mais qu’on n’ose pas évoquer ou creuser. J’ai envie de parler à ceux qui ont autant besoin de s’exprimer que d’être écouter.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bCs w:val="1"/>
          <w:rtl w:val="0"/>
        </w:rPr>
        <w:t xml:space="preserve">Parlons du quotidien </w:t>
      </w:r>
      <w:r w:rsidDel="00000000" w:rsidR="00000000" w:rsidRPr="00000000">
        <w:rPr>
          <w:rtl w:val="0"/>
        </w:rPr>
        <w:t xml:space="preserve">: Que ce soit dans notre cercle privé, au travail ou avec de pure inconnu, on à tous eu ces discussions décomplexées sur des sujets parfois tabou, qui attire autant qu’il effraie.  Dans un monde où chacun voit midi à sa porte, où on à du mal à dialoguer car on cherche à convaincre, parfois sans écouter, où on se dit qu’on est seule face à nos pensées, et que nos vies sont conditionnées par un système qui laisse beaucoup de place au paraître et peut de place à l’être. Où l'humain se déshumanise. Parlons sans filtre, sans jugement, mais surtout écoutons et partageons, nos envies, nos idées, sans tabou, ni préjugé. J’ai envie de partager avec ceux qui le veulent bien sur des sujets tels que la santé, la famille, la consommation, le bien-être, la sexualité.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